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仿宋简体"/>
          <w:bCs/>
          <w:color w:val="000000"/>
          <w:sz w:val="32"/>
          <w:szCs w:val="32"/>
        </w:rPr>
        <w:t>附件3</w:t>
      </w:r>
    </w:p>
    <w:tbl>
      <w:tblPr>
        <w:tblStyle w:val="2"/>
        <w:tblW w:w="90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09"/>
        <w:gridCol w:w="1592"/>
        <w:gridCol w:w="1363"/>
        <w:gridCol w:w="1576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5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方正小标宋简体" w:hAnsi="仿宋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 w:cs="方正小标宋简体"/>
                <w:color w:val="000000"/>
                <w:sz w:val="44"/>
                <w:szCs w:val="44"/>
              </w:rPr>
              <w:t>“专升本”地区代码</w:t>
            </w:r>
          </w:p>
          <w:bookmarkEnd w:id="0"/>
          <w:p>
            <w:pPr>
              <w:autoSpaceDN w:val="0"/>
              <w:spacing w:line="300" w:lineRule="exact"/>
              <w:textAlignment w:val="center"/>
              <w:rPr>
                <w:rFonts w:ascii="方正小标宋简体" w:hAnsi="仿宋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贵阳市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毕节市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黔南州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遵义市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铜仁市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黔东南州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安顺市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六盘水市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黔西南州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999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676A"/>
    <w:rsid w:val="5C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